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3A4CC5" w14:textId="77777777" w:rsidR="0072759C" w:rsidRPr="0072759C" w:rsidRDefault="0072759C" w:rsidP="0072759C">
      <w:pPr>
        <w:pStyle w:val="Title"/>
        <w:jc w:val="both"/>
        <w:rPr>
          <w:rFonts w:ascii="Arial" w:hAnsi="Arial" w:cs="Arial"/>
          <w:b/>
          <w:bCs/>
          <w:lang w:val="fr-FR"/>
        </w:rPr>
      </w:pPr>
      <w:r w:rsidRPr="0072759C">
        <w:rPr>
          <w:rFonts w:ascii="Arial" w:hAnsi="Arial" w:cs="Arial"/>
          <w:b/>
          <w:bCs/>
          <w:lang w:val="fr-FR"/>
        </w:rPr>
        <w:t>Circonscrire l’œuvre</w:t>
      </w:r>
    </w:p>
    <w:p w14:paraId="1C9FC7C8" w14:textId="77777777" w:rsidR="0072759C" w:rsidRPr="0072759C" w:rsidRDefault="0072759C" w:rsidP="0072759C">
      <w:pPr>
        <w:pStyle w:val="Title"/>
        <w:jc w:val="both"/>
        <w:rPr>
          <w:rFonts w:ascii="Arial" w:hAnsi="Arial" w:cs="Arial"/>
          <w:sz w:val="28"/>
          <w:szCs w:val="28"/>
          <w:lang w:val="fr-FR"/>
        </w:rPr>
      </w:pPr>
      <w:r w:rsidRPr="0072759C">
        <w:rPr>
          <w:rFonts w:ascii="Arial" w:hAnsi="Arial" w:cs="Arial"/>
          <w:sz w:val="28"/>
          <w:szCs w:val="28"/>
          <w:lang w:val="fr-FR"/>
        </w:rPr>
        <w:t>Fragmentation, prix et circulation marchande dans l’œuvre de Hans Haacke</w:t>
      </w:r>
    </w:p>
    <w:p w14:paraId="38C00F8F" w14:textId="77777777" w:rsidR="0072759C" w:rsidRPr="0072759C" w:rsidRDefault="0072759C" w:rsidP="0072759C">
      <w:pPr>
        <w:rPr>
          <w:rFonts w:cs="Arial"/>
          <w:sz w:val="18"/>
          <w:lang w:val="fr-FR"/>
        </w:rPr>
      </w:pPr>
      <w:r w:rsidRPr="0072759C">
        <w:rPr>
          <w:rFonts w:cs="Arial"/>
          <w:sz w:val="18"/>
          <w:lang w:val="fr-FR"/>
        </w:rPr>
        <w:t>Panos Tripolitsiotis</w:t>
      </w:r>
      <w:r w:rsidRPr="0072759C">
        <w:rPr>
          <w:rFonts w:cs="Arial"/>
          <w:sz w:val="18"/>
          <w:lang w:val="fr-FR"/>
        </w:rPr>
        <w:br/>
        <w:t>Synthèse du mémoire, Université libre de Bruxelles, 2025–2026</w:t>
      </w:r>
    </w:p>
    <w:p w14:paraId="03596ECB" w14:textId="77777777" w:rsidR="0072759C" w:rsidRPr="0072759C" w:rsidRDefault="0072759C" w:rsidP="0072759C">
      <w:pPr>
        <w:jc w:val="both"/>
        <w:rPr>
          <w:rFonts w:cs="Arial"/>
          <w:lang w:val="fr-FR"/>
        </w:rPr>
      </w:pPr>
    </w:p>
    <w:p w14:paraId="3B21BADD" w14:textId="77777777" w:rsidR="0072759C" w:rsidRPr="0072759C" w:rsidRDefault="0072759C" w:rsidP="0072759C">
      <w:pPr>
        <w:pStyle w:val="Title"/>
        <w:jc w:val="both"/>
        <w:rPr>
          <w:rFonts w:ascii="Arial" w:hAnsi="Arial" w:cs="Arial"/>
          <w:sz w:val="32"/>
          <w:szCs w:val="32"/>
          <w:lang w:val="fr-FR"/>
        </w:rPr>
      </w:pPr>
      <w:r w:rsidRPr="0072759C">
        <w:rPr>
          <w:rFonts w:ascii="Arial" w:hAnsi="Arial" w:cs="Arial"/>
          <w:sz w:val="32"/>
          <w:szCs w:val="32"/>
          <w:lang w:val="fr-FR"/>
        </w:rPr>
        <w:t>Objet et méthode</w:t>
      </w:r>
    </w:p>
    <w:p w14:paraId="180A88EE" w14:textId="77777777" w:rsidR="0072759C" w:rsidRPr="0072759C" w:rsidRDefault="0072759C" w:rsidP="0072759C">
      <w:pPr>
        <w:jc w:val="both"/>
        <w:rPr>
          <w:rFonts w:cs="Arial"/>
          <w:lang w:val="fr-FR"/>
        </w:rPr>
      </w:pPr>
      <w:r w:rsidRPr="0072759C">
        <w:rPr>
          <w:rFonts w:cs="Arial"/>
          <w:lang w:val="fr-FR"/>
        </w:rPr>
        <w:t>Ce mémoire étudie la circulation des œuvres de Hans Haacke sur le marché secondaire. Une part importante de son travail porte sur les liens entre institutions artistiques, propriété et pouvoir économique. Ses enquêtes prennent souvent sens dans un lieu précis, à travers la réunion de documents ou la confrontation avec les acteurs qu’elles mettent en cause. Leur présence aux enchères pose donc une question qui concerne autant leur valeur que leur fonctionnement : que devient cette critique lorsque l’œuvre, ou une partie de celle-ci, est mise en vente ?</w:t>
      </w:r>
    </w:p>
    <w:p w14:paraId="6733C15D" w14:textId="77777777" w:rsidR="0072759C" w:rsidRPr="0072759C" w:rsidRDefault="0072759C" w:rsidP="0072759C">
      <w:pPr>
        <w:jc w:val="both"/>
        <w:rPr>
          <w:rFonts w:cs="Arial"/>
          <w:lang w:val="fr-FR"/>
        </w:rPr>
      </w:pPr>
      <w:r w:rsidRPr="0072759C">
        <w:rPr>
          <w:rFonts w:cs="Arial"/>
          <w:lang w:val="fr-FR"/>
        </w:rPr>
        <w:t>La recherche examine les opérations qui permettent de constituer un bien vendable à partir de ces projets. Une transaction peut porter sur une œuvre entière, un composant ou une trace documentaire. Le titre sous lequel un lot apparaît ne suffit pas à établir ce que l’acquéreur possède. Il faut revenir à l’œuvre de référence pour comprendre la place de l’élément vendu et ce qui reste hors de la transaction.</w:t>
      </w:r>
    </w:p>
    <w:p w14:paraId="478E01C0" w14:textId="55AAB0F4" w:rsidR="0072759C" w:rsidRPr="0072759C" w:rsidRDefault="0072759C" w:rsidP="0072759C">
      <w:pPr>
        <w:jc w:val="both"/>
        <w:rPr>
          <w:rFonts w:cs="Arial"/>
          <w:lang w:val="fr-FR"/>
        </w:rPr>
      </w:pPr>
      <w:r w:rsidRPr="0072759C">
        <w:rPr>
          <w:rFonts w:cs="Arial"/>
          <w:lang w:val="fr-FR"/>
        </w:rPr>
        <w:t xml:space="preserve">L’enquête associe analyse historique et économétrique. Elle s’appuie sur des catalogues d’exposition et de vente, des consultations d’archives à Paris et à Cologne, ainsi </w:t>
      </w:r>
      <w:r>
        <w:rPr>
          <w:rFonts w:cs="Arial"/>
          <w:lang w:val="fr-FR"/>
        </w:rPr>
        <w:t xml:space="preserve">que des </w:t>
      </w:r>
      <w:proofErr w:type="spellStart"/>
      <w:r>
        <w:rPr>
          <w:rStyle w:val="Emphasis"/>
          <w:rFonts w:cs="Arial"/>
          <w:i w:val="0"/>
          <w:iCs w:val="0"/>
        </w:rPr>
        <w:t>te</w:t>
      </w:r>
      <w:r w:rsidRPr="0072759C">
        <w:rPr>
          <w:rStyle w:val="Emphasis"/>
          <w:rFonts w:cs="Arial"/>
          <w:i w:val="0"/>
          <w:iCs w:val="0"/>
        </w:rPr>
        <w:t>hniques</w:t>
      </w:r>
      <w:proofErr w:type="spellEnd"/>
      <w:r w:rsidRPr="0072759C">
        <w:rPr>
          <w:rStyle w:val="Emphasis"/>
          <w:rFonts w:cs="Arial"/>
          <w:i w:val="0"/>
          <w:iCs w:val="0"/>
        </w:rPr>
        <w:t xml:space="preserve"> et </w:t>
      </w:r>
      <w:proofErr w:type="spellStart"/>
      <w:r w:rsidRPr="0072759C">
        <w:rPr>
          <w:rStyle w:val="Emphasis"/>
          <w:rFonts w:cs="Arial"/>
          <w:i w:val="0"/>
          <w:iCs w:val="0"/>
        </w:rPr>
        <w:t>outils</w:t>
      </w:r>
      <w:proofErr w:type="spellEnd"/>
      <w:r w:rsidRPr="0072759C">
        <w:rPr>
          <w:rStyle w:val="Emphasis"/>
          <w:rFonts w:cs="Arial"/>
          <w:i w:val="0"/>
          <w:iCs w:val="0"/>
        </w:rPr>
        <w:t xml:space="preserve"> de </w:t>
      </w:r>
      <w:proofErr w:type="spellStart"/>
      <w:r w:rsidRPr="0072759C">
        <w:rPr>
          <w:rStyle w:val="Emphasis"/>
          <w:rFonts w:cs="Arial"/>
          <w:i w:val="0"/>
          <w:iCs w:val="0"/>
        </w:rPr>
        <w:t>collecte</w:t>
      </w:r>
      <w:proofErr w:type="spellEnd"/>
      <w:r w:rsidRPr="0072759C">
        <w:rPr>
          <w:rStyle w:val="Emphasis"/>
          <w:rFonts w:cs="Arial"/>
          <w:i w:val="0"/>
          <w:iCs w:val="0"/>
        </w:rPr>
        <w:t xml:space="preserve"> de données </w:t>
      </w:r>
      <w:proofErr w:type="spellStart"/>
      <w:r w:rsidRPr="0072759C">
        <w:rPr>
          <w:rStyle w:val="Emphasis"/>
          <w:rFonts w:cs="Arial"/>
          <w:i w:val="0"/>
          <w:iCs w:val="0"/>
        </w:rPr>
        <w:t>primaires</w:t>
      </w:r>
      <w:proofErr w:type="spellEnd"/>
      <w:r w:rsidRPr="0072759C">
        <w:rPr>
          <w:rStyle w:val="Emphasis"/>
          <w:rFonts w:cs="Arial"/>
          <w:i w:val="0"/>
          <w:iCs w:val="0"/>
        </w:rPr>
        <w:t xml:space="preserve"> </w:t>
      </w:r>
      <w:proofErr w:type="spellStart"/>
      <w:r w:rsidRPr="0072759C">
        <w:rPr>
          <w:rStyle w:val="Emphasis"/>
          <w:rFonts w:cs="Arial"/>
          <w:i w:val="0"/>
          <w:iCs w:val="0"/>
        </w:rPr>
        <w:t>en</w:t>
      </w:r>
      <w:proofErr w:type="spellEnd"/>
      <w:r w:rsidRPr="0072759C">
        <w:rPr>
          <w:rStyle w:val="Emphasis"/>
          <w:rFonts w:cs="Arial"/>
          <w:i w:val="0"/>
          <w:iCs w:val="0"/>
        </w:rPr>
        <w:t xml:space="preserve"> recherche qualitative</w:t>
      </w:r>
      <w:r w:rsidRPr="0072759C">
        <w:rPr>
          <w:rStyle w:val="Emphasis"/>
          <w:rFonts w:cs="Arial"/>
          <w:i w:val="0"/>
          <w:iCs w:val="0"/>
        </w:rPr>
        <w:t xml:space="preserve"> </w:t>
      </w:r>
      <w:proofErr w:type="spellStart"/>
      <w:r w:rsidRPr="0072759C">
        <w:rPr>
          <w:rStyle w:val="Emphasis"/>
          <w:rFonts w:cs="Arial"/>
          <w:i w:val="0"/>
          <w:iCs w:val="0"/>
        </w:rPr>
        <w:t>autour</w:t>
      </w:r>
      <w:proofErr w:type="spellEnd"/>
      <w:r w:rsidRPr="0072759C">
        <w:rPr>
          <w:rStyle w:val="Emphasis"/>
          <w:rFonts w:cs="Arial"/>
          <w:i w:val="0"/>
          <w:iCs w:val="0"/>
        </w:rPr>
        <w:t xml:space="preserve"> de</w:t>
      </w:r>
      <w:r w:rsidRPr="0072759C">
        <w:rPr>
          <w:rFonts w:cs="Arial"/>
          <w:lang w:val="fr-FR"/>
        </w:rPr>
        <w:t xml:space="preserve"> </w:t>
      </w:r>
      <w:proofErr w:type="spellStart"/>
      <w:proofErr w:type="gramStart"/>
      <w:r w:rsidRPr="0072759C">
        <w:rPr>
          <w:rFonts w:cs="Arial"/>
          <w:lang w:val="fr-FR"/>
        </w:rPr>
        <w:t>H.Haacke</w:t>
      </w:r>
      <w:proofErr w:type="spellEnd"/>
      <w:proofErr w:type="gramEnd"/>
      <w:r w:rsidRPr="0072759C">
        <w:rPr>
          <w:rFonts w:cs="Arial"/>
          <w:lang w:val="fr-FR"/>
        </w:rPr>
        <w:t>. Un corpus de 72 lots est mis en relation avec 136 œuvres ou versions documentées. Cette comparaison permet d’étudier la sélection opérée par les enchères, y compris les œuvres qui n’y apparaissent pas.</w:t>
      </w:r>
    </w:p>
    <w:p w14:paraId="2DE5EAFB" w14:textId="77777777" w:rsidR="0072759C" w:rsidRPr="0072759C" w:rsidRDefault="0072759C" w:rsidP="0072759C">
      <w:pPr>
        <w:jc w:val="both"/>
        <w:rPr>
          <w:rFonts w:cs="Arial"/>
          <w:lang w:val="fr-FR"/>
        </w:rPr>
      </w:pPr>
      <w:r w:rsidRPr="0072759C">
        <w:rPr>
          <w:rFonts w:cs="Arial"/>
          <w:lang w:val="fr-FR"/>
        </w:rPr>
        <w:t>Le travail de constitution des données distingue les reventes des doublons documentaires et rattache chaque lot à une œuvre de référence. Les variables décrivent notamment l’intensité politique, la configuration matérielle et conceptuelle et le caractère entier ou fragmentaire du lot. Une régression hédonique examine leur association avec le prix en tenant compte simultanément des caractéristiques retenues. Les études de cas précisent ensuite ce que les résultats statistiques permettent de comprendre de la circulation des œuvres.</w:t>
      </w:r>
    </w:p>
    <w:p w14:paraId="68747CEB" w14:textId="77777777" w:rsidR="0072759C" w:rsidRPr="0072759C" w:rsidRDefault="0072759C" w:rsidP="0072759C">
      <w:pPr>
        <w:pStyle w:val="Title"/>
        <w:jc w:val="both"/>
        <w:rPr>
          <w:rFonts w:ascii="Arial" w:hAnsi="Arial" w:cs="Arial"/>
          <w:sz w:val="32"/>
          <w:szCs w:val="32"/>
          <w:lang w:val="fr-FR"/>
        </w:rPr>
      </w:pPr>
      <w:r w:rsidRPr="0072759C">
        <w:rPr>
          <w:rFonts w:ascii="Arial" w:hAnsi="Arial" w:cs="Arial"/>
          <w:sz w:val="32"/>
          <w:szCs w:val="32"/>
          <w:lang w:val="fr-FR"/>
        </w:rPr>
        <w:t>Principaux résultats</w:t>
      </w:r>
    </w:p>
    <w:p w14:paraId="57E92620" w14:textId="77777777" w:rsidR="0072759C" w:rsidRPr="0072759C" w:rsidRDefault="0072759C" w:rsidP="0072759C">
      <w:pPr>
        <w:jc w:val="both"/>
        <w:rPr>
          <w:rFonts w:cs="Arial"/>
          <w:lang w:val="fr-FR"/>
        </w:rPr>
      </w:pPr>
      <w:r w:rsidRPr="0072759C">
        <w:rPr>
          <w:rFonts w:cs="Arial"/>
          <w:lang w:val="fr-FR"/>
        </w:rPr>
        <w:t>Sur les 136 entrées de référence, 48 sont représentées dans les 72 lots recensés. Parmi ces lots, 45 sont fragmentaires, soit 62,5 %. Les œuvres les plus explicitement politiques représentent 26,5 % du corpus de référence et 48,6 % des apparitions aux enchères. Leur visibilité repose largement sur des composants séparés : 28 des 35 lots de cette catégorie sont fragmentaires. La fragmentation désigne ici le rapport du lot à l’œuvre de référence ; elle ne suppose pas nécessairement qu’un ensemble ait été physiquement détruit.</w:t>
      </w:r>
    </w:p>
    <w:p w14:paraId="266882E7" w14:textId="77777777" w:rsidR="0072759C" w:rsidRPr="0072759C" w:rsidRDefault="0072759C" w:rsidP="0072759C">
      <w:pPr>
        <w:jc w:val="both"/>
        <w:rPr>
          <w:rFonts w:cs="Arial"/>
          <w:lang w:val="fr-FR"/>
        </w:rPr>
      </w:pPr>
      <w:r w:rsidRPr="0072759C">
        <w:rPr>
          <w:rFonts w:cs="Arial"/>
          <w:lang w:val="fr-FR"/>
        </w:rPr>
        <w:br w:type="page"/>
      </w:r>
    </w:p>
    <w:p w14:paraId="12729344" w14:textId="77777777" w:rsidR="0072759C" w:rsidRPr="0072759C" w:rsidRDefault="0072759C" w:rsidP="0072759C">
      <w:pPr>
        <w:jc w:val="both"/>
        <w:rPr>
          <w:rFonts w:cs="Arial"/>
          <w:lang w:val="fr-FR"/>
        </w:rPr>
      </w:pPr>
      <w:r w:rsidRPr="0072759C">
        <w:rPr>
          <w:rFonts w:cs="Arial"/>
          <w:lang w:val="fr-FR"/>
        </w:rPr>
        <w:lastRenderedPageBreak/>
        <w:t>Les configurations matérielles donnent lieu à des formes de circulation différentes. Les dispositifs dont le processus reste contenu dans un objet délimité, comme les systèmes de condensation, se prêtent davantage à une vente complète. Les œuvres dont le fonctionnement repose sur des éléments dispersés ou sur une situation particulière apparaissent plus souvent par parties. Dans le modèle principal, les fragments sont associés à un prix inférieur d’environ 65,5 % à celui des œuvres entières, à caractéristiques observées comparables. L’association entre intensité politique et prix est positive, mais les écarts entre titres restent importants. Une présence fréquente aux enchères ne signifie donc pas une valorisation uniforme.</w:t>
      </w:r>
    </w:p>
    <w:p w14:paraId="508845C9" w14:textId="77777777" w:rsidR="0072759C" w:rsidRPr="0072759C" w:rsidRDefault="0072759C" w:rsidP="0072759C">
      <w:pPr>
        <w:pStyle w:val="Title"/>
        <w:jc w:val="both"/>
        <w:rPr>
          <w:rFonts w:ascii="Arial" w:hAnsi="Arial" w:cs="Arial"/>
          <w:sz w:val="32"/>
          <w:szCs w:val="32"/>
          <w:lang w:val="fr-FR"/>
        </w:rPr>
      </w:pPr>
      <w:r w:rsidRPr="0072759C">
        <w:rPr>
          <w:rFonts w:ascii="Arial" w:hAnsi="Arial" w:cs="Arial"/>
          <w:sz w:val="32"/>
          <w:szCs w:val="32"/>
          <w:lang w:val="fr-FR"/>
        </w:rPr>
        <w:t>La valeur marchande de la critique</w:t>
      </w:r>
    </w:p>
    <w:p w14:paraId="16E9FEB2" w14:textId="619B8030" w:rsidR="0072759C" w:rsidRPr="0072759C" w:rsidRDefault="0072759C" w:rsidP="0072759C">
      <w:pPr>
        <w:jc w:val="both"/>
        <w:rPr>
          <w:rFonts w:cs="Arial"/>
          <w:lang w:val="fr-FR"/>
        </w:rPr>
      </w:pPr>
      <w:r w:rsidRPr="0072759C">
        <w:rPr>
          <w:rFonts w:cs="Arial"/>
          <w:lang w:val="fr-FR"/>
        </w:rPr>
        <w:t>L’argument central du mémoire porte sur ce que cette circulation conserve de l’œuvre et sur ce qu’elle transforme. Un composant peut garder un contenu politique identifiable. Une plaque</w:t>
      </w:r>
      <w:r>
        <w:rPr>
          <w:rFonts w:cs="Arial"/>
          <w:lang w:val="fr-FR"/>
        </w:rPr>
        <w:t xml:space="preserve"> d’</w:t>
      </w:r>
      <w:r w:rsidRPr="0072759C">
        <w:rPr>
          <w:rFonts w:cs="Arial"/>
          <w:i/>
          <w:iCs/>
          <w:lang w:val="fr-FR"/>
        </w:rPr>
        <w:t xml:space="preserve">On Social </w:t>
      </w:r>
      <w:proofErr w:type="spellStart"/>
      <w:r w:rsidRPr="0072759C">
        <w:rPr>
          <w:rFonts w:cs="Arial"/>
          <w:i/>
          <w:iCs/>
          <w:lang w:val="fr-FR"/>
        </w:rPr>
        <w:t>Grease</w:t>
      </w:r>
      <w:proofErr w:type="spellEnd"/>
      <w:r w:rsidRPr="0072759C">
        <w:rPr>
          <w:rFonts w:cs="Arial"/>
          <w:lang w:val="fr-FR"/>
        </w:rPr>
        <w:t xml:space="preserve"> conserve la déclaration qu’elle reproduit. Vendue séparément, elle ne permet plus la comparaison entre les déclarations réunies dans l’ensemble. Le texte reste présent, tandis que les relations qui organisaient l’intervention critique sont modifiées.</w:t>
      </w:r>
    </w:p>
    <w:p w14:paraId="29DCC1DD" w14:textId="77777777" w:rsidR="0072759C" w:rsidRPr="0072759C" w:rsidRDefault="0072759C" w:rsidP="0072759C">
      <w:pPr>
        <w:jc w:val="both"/>
        <w:rPr>
          <w:rFonts w:cs="Arial"/>
          <w:lang w:val="fr-FR"/>
        </w:rPr>
      </w:pPr>
      <w:r w:rsidRPr="0072759C">
        <w:rPr>
          <w:rFonts w:cs="Arial"/>
          <w:lang w:val="fr-FR"/>
        </w:rPr>
        <w:t>Le marché peut pourtant mobiliser l’histoire de cette intervention pour valoriser l’élément isolé. Le titre du projet, le nom de Haacke, les expositions et les controverses relient le fragment à une œuvre dont l’acquéreur ne possède qu’une partie. Sa radicalité continue ainsi de contribuer à la valeur du bien vendu, alors que les conditions qui lui permettaient d’agir comme critique restent hors de la transaction. La fragmentation offre une voie concrète à cette appropriation : elle rend disponible un support identifiable et transférable, dont la valeur dépend d’un ensemble absent.</w:t>
      </w:r>
    </w:p>
    <w:p w14:paraId="150614E7" w14:textId="77777777" w:rsidR="0072759C" w:rsidRPr="0072759C" w:rsidRDefault="0072759C" w:rsidP="0072759C">
      <w:pPr>
        <w:jc w:val="both"/>
        <w:rPr>
          <w:rFonts w:cs="Arial"/>
          <w:lang w:val="fr-FR"/>
        </w:rPr>
      </w:pPr>
      <w:r w:rsidRPr="0072759C">
        <w:rPr>
          <w:rFonts w:cs="Arial"/>
          <w:lang w:val="fr-FR"/>
        </w:rPr>
        <w:t>Cette lecture précise le problème de la neutralisation marchande. La vente peut préserver le contenu d’une œuvre tout en réduisant les relations qui lui donnaient sa portée. Une critique de l’institution peut devenir un objet de collection valorisé pour cette même critique. Les institutions participent à ce processus par les expositions, les publications et la reconnaissance historique que les notices de vente peuvent ensuite mobiliser. Les données établissent les formes de circulation et les écarts de prix ; l’analyse des œuvres permet d’en discuter les conséquences pour leur fonctionnement critique.</w:t>
      </w:r>
    </w:p>
    <w:p w14:paraId="255C9EB0" w14:textId="77777777" w:rsidR="0072759C" w:rsidRPr="0072759C" w:rsidRDefault="0072759C" w:rsidP="0072759C">
      <w:pPr>
        <w:jc w:val="both"/>
        <w:rPr>
          <w:rFonts w:cs="Arial"/>
          <w:lang w:val="fr-FR"/>
        </w:rPr>
      </w:pPr>
      <w:r w:rsidRPr="0072759C">
        <w:rPr>
          <w:rFonts w:cs="Arial"/>
          <w:lang w:val="fr-FR"/>
        </w:rPr>
        <w:t>Les limites de l’enquête tiennent à la taille du corpus, aux choix de codage et à l’accès restreint aux ventes privées et au marché primaire. Les prix réalisés, les estimations et les valeurs reconstruites n’offrent pas le même degré de certitude. Les associations statistiques ne démontrent donc ni une causalité générale ni une perte mesurable de l’efficacité critique.</w:t>
      </w:r>
    </w:p>
    <w:p w14:paraId="6D408553" w14:textId="5FC2F3FF" w:rsidR="0072759C" w:rsidRPr="0072759C" w:rsidRDefault="0072759C" w:rsidP="0072759C">
      <w:pPr>
        <w:jc w:val="both"/>
        <w:rPr>
          <w:rFonts w:cs="Arial"/>
          <w:lang w:val="fr-FR"/>
        </w:rPr>
      </w:pPr>
      <w:r w:rsidRPr="0072759C">
        <w:rPr>
          <w:rFonts w:cs="Arial"/>
          <w:lang w:val="fr-FR"/>
        </w:rPr>
        <w:t xml:space="preserve">L’enjeu concerne enfin la transmission des œuvres. Les fragments acquis pourront être conservés, prêtés et exposés de nouveau. </w:t>
      </w:r>
      <w:proofErr w:type="gramStart"/>
      <w:r w:rsidRPr="0072759C">
        <w:rPr>
          <w:rFonts w:cs="Arial"/>
          <w:lang w:val="fr-FR"/>
        </w:rPr>
        <w:t>Par contre</w:t>
      </w:r>
      <w:proofErr w:type="gramEnd"/>
      <w:r w:rsidRPr="0072759C">
        <w:rPr>
          <w:rFonts w:cs="Arial"/>
          <w:lang w:val="fr-FR"/>
        </w:rPr>
        <w:t xml:space="preserve">, les situations et les conflits auxquels ils répondaient risquent de devenir moins accessibles que ces objets. Le marché intervient ainsi dans la postérité matérielle de l’art conceptuel : il contribue à déterminer ce qui subsiste, circule et devient une source pour </w:t>
      </w:r>
      <w:r w:rsidRPr="0072759C">
        <w:rPr>
          <w:rFonts w:cs="Arial"/>
          <w:lang w:val="fr-FR"/>
        </w:rPr>
        <w:t>son histoire actuelle</w:t>
      </w:r>
      <w:r w:rsidRPr="0072759C">
        <w:rPr>
          <w:rFonts w:cs="Arial"/>
          <w:lang w:val="fr-FR"/>
        </w:rPr>
        <w:t xml:space="preserve"> et future. Chez Haacke, cette transformation prolonge les questions de propriété et de pouvoir que les œuvres avaient elles-mêmes rendues visibles.</w:t>
      </w:r>
    </w:p>
    <w:p w14:paraId="0E342847" w14:textId="77777777" w:rsidR="0072759C" w:rsidRDefault="0072759C"/>
    <w:sectPr w:rsidR="0072759C" w:rsidSect="0072759C">
      <w:footerReference w:type="default" r:id="rId4"/>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47B49E" w14:textId="77777777" w:rsidR="0072759C" w:rsidRDefault="0072759C">
    <w:pPr>
      <w:pStyle w:val="Footer"/>
      <w:jc w:val="right"/>
    </w:pPr>
    <w:r>
      <w:fldChar w:fldCharType="begin"/>
    </w:r>
    <w:r>
      <w:instrText>PAGE</w:instrText>
    </w:r>
    <w:r>
      <w:fldChar w:fldCharType="separate"/>
    </w:r>
    <w:r>
      <w:rPr>
        <w:noProof/>
      </w:rPr>
      <w:t>1</w:t>
    </w:r>
    <w:r>
      <w:fldChar w:fldCharType="end"/>
    </w:r>
  </w:p>
</w:ft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9C"/>
    <w:rsid w:val="005A427C"/>
    <w:rsid w:val="0072759C"/>
  </w:rsids>
  <m:mathPr>
    <m:mathFont m:val="Cambria Math"/>
    <m:brkBin m:val="before"/>
    <m:brkBinSub m:val="--"/>
    <m:smallFrac m:val="0"/>
    <m:dispDef/>
    <m:lMargin m:val="0"/>
    <m:rMargin m:val="0"/>
    <m:defJc m:val="centerGroup"/>
    <m:wrapIndent m:val="1440"/>
    <m:intLim m:val="subSup"/>
    <m:naryLim m:val="undOvr"/>
  </m:mathPr>
  <w:themeFontLang w:val="en-GR"/>
  <w:clrSchemeMapping w:bg1="light1" w:t1="dark1" w:bg2="light2" w:t2="dark2" w:accent1="accent1" w:accent2="accent2" w:accent3="accent3" w:accent4="accent4" w:accent5="accent5" w:accent6="accent6" w:hyperlink="hyperlink" w:followedHyperlink="followedHyperlink"/>
  <w:decimalSymbol w:val=","/>
  <w:listSeparator w:val=","/>
  <w14:docId w14:val="66C2D61D"/>
  <w15:chartTrackingRefBased/>
  <w15:docId w15:val="{46402C49-7491-6F4E-8DCE-C43F24D9D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59C"/>
    <w:pPr>
      <w:spacing w:after="180" w:line="269" w:lineRule="auto"/>
    </w:pPr>
    <w:rPr>
      <w:rFonts w:ascii="Arial" w:eastAsiaTheme="minorEastAsia" w:hAnsi="Arial"/>
      <w:color w:val="000000"/>
      <w:kern w:val="0"/>
      <w:sz w:val="21"/>
      <w:szCs w:val="22"/>
      <w:lang w:val="en-US"/>
      <w14:ligatures w14:val="none"/>
    </w:rPr>
  </w:style>
  <w:style w:type="paragraph" w:styleId="Heading1">
    <w:name w:val="heading 1"/>
    <w:basedOn w:val="Normal"/>
    <w:next w:val="Normal"/>
    <w:link w:val="Heading1Char"/>
    <w:uiPriority w:val="9"/>
    <w:qFormat/>
    <w:rsid w:val="0072759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R"/>
      <w14:ligatures w14:val="standardContextual"/>
    </w:rPr>
  </w:style>
  <w:style w:type="paragraph" w:styleId="Heading2">
    <w:name w:val="heading 2"/>
    <w:basedOn w:val="Normal"/>
    <w:next w:val="Normal"/>
    <w:link w:val="Heading2Char"/>
    <w:uiPriority w:val="9"/>
    <w:semiHidden/>
    <w:unhideWhenUsed/>
    <w:qFormat/>
    <w:rsid w:val="0072759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R"/>
      <w14:ligatures w14:val="standardContextual"/>
    </w:rPr>
  </w:style>
  <w:style w:type="paragraph" w:styleId="Heading3">
    <w:name w:val="heading 3"/>
    <w:basedOn w:val="Normal"/>
    <w:next w:val="Normal"/>
    <w:link w:val="Heading3Char"/>
    <w:uiPriority w:val="9"/>
    <w:semiHidden/>
    <w:unhideWhenUsed/>
    <w:qFormat/>
    <w:rsid w:val="0072759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R"/>
      <w14:ligatures w14:val="standardContextual"/>
    </w:rPr>
  </w:style>
  <w:style w:type="paragraph" w:styleId="Heading4">
    <w:name w:val="heading 4"/>
    <w:basedOn w:val="Normal"/>
    <w:next w:val="Normal"/>
    <w:link w:val="Heading4Char"/>
    <w:uiPriority w:val="9"/>
    <w:semiHidden/>
    <w:unhideWhenUsed/>
    <w:qFormat/>
    <w:rsid w:val="0072759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R"/>
      <w14:ligatures w14:val="standardContextual"/>
    </w:rPr>
  </w:style>
  <w:style w:type="paragraph" w:styleId="Heading5">
    <w:name w:val="heading 5"/>
    <w:basedOn w:val="Normal"/>
    <w:next w:val="Normal"/>
    <w:link w:val="Heading5Char"/>
    <w:uiPriority w:val="9"/>
    <w:semiHidden/>
    <w:unhideWhenUsed/>
    <w:qFormat/>
    <w:rsid w:val="0072759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R"/>
      <w14:ligatures w14:val="standardContextual"/>
    </w:rPr>
  </w:style>
  <w:style w:type="paragraph" w:styleId="Heading6">
    <w:name w:val="heading 6"/>
    <w:basedOn w:val="Normal"/>
    <w:next w:val="Normal"/>
    <w:link w:val="Heading6Char"/>
    <w:uiPriority w:val="9"/>
    <w:semiHidden/>
    <w:unhideWhenUsed/>
    <w:qFormat/>
    <w:rsid w:val="0072759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GR"/>
      <w14:ligatures w14:val="standardContextual"/>
    </w:rPr>
  </w:style>
  <w:style w:type="paragraph" w:styleId="Heading7">
    <w:name w:val="heading 7"/>
    <w:basedOn w:val="Normal"/>
    <w:next w:val="Normal"/>
    <w:link w:val="Heading7Char"/>
    <w:uiPriority w:val="9"/>
    <w:semiHidden/>
    <w:unhideWhenUsed/>
    <w:qFormat/>
    <w:rsid w:val="0072759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GR"/>
      <w14:ligatures w14:val="standardContextual"/>
    </w:rPr>
  </w:style>
  <w:style w:type="paragraph" w:styleId="Heading8">
    <w:name w:val="heading 8"/>
    <w:basedOn w:val="Normal"/>
    <w:next w:val="Normal"/>
    <w:link w:val="Heading8Char"/>
    <w:uiPriority w:val="9"/>
    <w:semiHidden/>
    <w:unhideWhenUsed/>
    <w:qFormat/>
    <w:rsid w:val="0072759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GR"/>
      <w14:ligatures w14:val="standardContextual"/>
    </w:rPr>
  </w:style>
  <w:style w:type="paragraph" w:styleId="Heading9">
    <w:name w:val="heading 9"/>
    <w:basedOn w:val="Normal"/>
    <w:next w:val="Normal"/>
    <w:link w:val="Heading9Char"/>
    <w:uiPriority w:val="9"/>
    <w:semiHidden/>
    <w:unhideWhenUsed/>
    <w:qFormat/>
    <w:rsid w:val="0072759C"/>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G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5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75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75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75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75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75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5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5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59C"/>
    <w:rPr>
      <w:rFonts w:eastAsiaTheme="majorEastAsia" w:cstheme="majorBidi"/>
      <w:color w:val="272727" w:themeColor="text1" w:themeTint="D8"/>
    </w:rPr>
  </w:style>
  <w:style w:type="paragraph" w:styleId="Title">
    <w:name w:val="Title"/>
    <w:basedOn w:val="Normal"/>
    <w:next w:val="Normal"/>
    <w:link w:val="TitleChar"/>
    <w:uiPriority w:val="10"/>
    <w:qFormat/>
    <w:rsid w:val="0072759C"/>
    <w:pPr>
      <w:spacing w:after="80" w:line="240" w:lineRule="auto"/>
      <w:contextualSpacing/>
    </w:pPr>
    <w:rPr>
      <w:rFonts w:asciiTheme="majorHAnsi" w:eastAsiaTheme="majorEastAsia" w:hAnsiTheme="majorHAnsi" w:cstheme="majorBidi"/>
      <w:color w:val="auto"/>
      <w:spacing w:val="-10"/>
      <w:kern w:val="28"/>
      <w:sz w:val="56"/>
      <w:szCs w:val="56"/>
      <w:lang w:val="en-GR"/>
      <w14:ligatures w14:val="standardContextual"/>
    </w:rPr>
  </w:style>
  <w:style w:type="character" w:customStyle="1" w:styleId="TitleChar">
    <w:name w:val="Title Char"/>
    <w:basedOn w:val="DefaultParagraphFont"/>
    <w:link w:val="Title"/>
    <w:uiPriority w:val="10"/>
    <w:rsid w:val="007275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59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R"/>
      <w14:ligatures w14:val="standardContextual"/>
    </w:rPr>
  </w:style>
  <w:style w:type="character" w:customStyle="1" w:styleId="SubtitleChar">
    <w:name w:val="Subtitle Char"/>
    <w:basedOn w:val="DefaultParagraphFont"/>
    <w:link w:val="Subtitle"/>
    <w:uiPriority w:val="11"/>
    <w:rsid w:val="007275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59C"/>
    <w:pPr>
      <w:spacing w:before="160" w:after="160" w:line="278" w:lineRule="auto"/>
      <w:jc w:val="center"/>
    </w:pPr>
    <w:rPr>
      <w:rFonts w:asciiTheme="minorHAnsi" w:eastAsiaTheme="minorHAnsi" w:hAnsiTheme="minorHAnsi"/>
      <w:i/>
      <w:iCs/>
      <w:color w:val="404040" w:themeColor="text1" w:themeTint="BF"/>
      <w:kern w:val="2"/>
      <w:sz w:val="24"/>
      <w:szCs w:val="24"/>
      <w:lang w:val="en-GR"/>
      <w14:ligatures w14:val="standardContextual"/>
    </w:rPr>
  </w:style>
  <w:style w:type="character" w:customStyle="1" w:styleId="QuoteChar">
    <w:name w:val="Quote Char"/>
    <w:basedOn w:val="DefaultParagraphFont"/>
    <w:link w:val="Quote"/>
    <w:uiPriority w:val="29"/>
    <w:rsid w:val="0072759C"/>
    <w:rPr>
      <w:i/>
      <w:iCs/>
      <w:color w:val="404040" w:themeColor="text1" w:themeTint="BF"/>
    </w:rPr>
  </w:style>
  <w:style w:type="paragraph" w:styleId="ListParagraph">
    <w:name w:val="List Paragraph"/>
    <w:basedOn w:val="Normal"/>
    <w:uiPriority w:val="34"/>
    <w:qFormat/>
    <w:rsid w:val="0072759C"/>
    <w:pPr>
      <w:spacing w:after="160" w:line="278" w:lineRule="auto"/>
      <w:ind w:left="720"/>
      <w:contextualSpacing/>
    </w:pPr>
    <w:rPr>
      <w:rFonts w:asciiTheme="minorHAnsi" w:eastAsiaTheme="minorHAnsi" w:hAnsiTheme="minorHAnsi"/>
      <w:color w:val="auto"/>
      <w:kern w:val="2"/>
      <w:sz w:val="24"/>
      <w:szCs w:val="24"/>
      <w:lang w:val="en-GR"/>
      <w14:ligatures w14:val="standardContextual"/>
    </w:rPr>
  </w:style>
  <w:style w:type="character" w:styleId="IntenseEmphasis">
    <w:name w:val="Intense Emphasis"/>
    <w:basedOn w:val="DefaultParagraphFont"/>
    <w:uiPriority w:val="21"/>
    <w:qFormat/>
    <w:rsid w:val="0072759C"/>
    <w:rPr>
      <w:i/>
      <w:iCs/>
      <w:color w:val="0F4761" w:themeColor="accent1" w:themeShade="BF"/>
    </w:rPr>
  </w:style>
  <w:style w:type="paragraph" w:styleId="IntenseQuote">
    <w:name w:val="Intense Quote"/>
    <w:basedOn w:val="Normal"/>
    <w:next w:val="Normal"/>
    <w:link w:val="IntenseQuoteChar"/>
    <w:uiPriority w:val="30"/>
    <w:qFormat/>
    <w:rsid w:val="0072759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GR"/>
      <w14:ligatures w14:val="standardContextual"/>
    </w:rPr>
  </w:style>
  <w:style w:type="character" w:customStyle="1" w:styleId="IntenseQuoteChar">
    <w:name w:val="Intense Quote Char"/>
    <w:basedOn w:val="DefaultParagraphFont"/>
    <w:link w:val="IntenseQuote"/>
    <w:uiPriority w:val="30"/>
    <w:rsid w:val="0072759C"/>
    <w:rPr>
      <w:i/>
      <w:iCs/>
      <w:color w:val="0F4761" w:themeColor="accent1" w:themeShade="BF"/>
    </w:rPr>
  </w:style>
  <w:style w:type="character" w:styleId="IntenseReference">
    <w:name w:val="Intense Reference"/>
    <w:basedOn w:val="DefaultParagraphFont"/>
    <w:uiPriority w:val="32"/>
    <w:qFormat/>
    <w:rsid w:val="0072759C"/>
    <w:rPr>
      <w:b/>
      <w:bCs/>
      <w:smallCaps/>
      <w:color w:val="0F4761" w:themeColor="accent1" w:themeShade="BF"/>
      <w:spacing w:val="5"/>
    </w:rPr>
  </w:style>
  <w:style w:type="paragraph" w:styleId="Footer">
    <w:name w:val="footer"/>
    <w:basedOn w:val="Normal"/>
    <w:link w:val="FooterChar"/>
    <w:uiPriority w:val="99"/>
    <w:unhideWhenUsed/>
    <w:rsid w:val="00727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59C"/>
    <w:rPr>
      <w:rFonts w:ascii="Arial" w:eastAsiaTheme="minorEastAsia" w:hAnsi="Arial"/>
      <w:color w:val="000000"/>
      <w:kern w:val="0"/>
      <w:sz w:val="21"/>
      <w:szCs w:val="22"/>
      <w:lang w:val="en-US"/>
      <w14:ligatures w14:val="none"/>
    </w:rPr>
  </w:style>
  <w:style w:type="character" w:styleId="Emphasis">
    <w:name w:val="Emphasis"/>
    <w:basedOn w:val="DefaultParagraphFont"/>
    <w:uiPriority w:val="20"/>
    <w:qFormat/>
    <w:rsid w:val="007275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910</Words>
  <Characters>5192</Characters>
  <Application>Microsoft Office Word</Application>
  <DocSecurity>0</DocSecurity>
  <Lines>43</Lines>
  <Paragraphs>12</Paragraphs>
  <ScaleCrop>false</ScaleCrop>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TRIPOLITSIOTIS Panos</dc:creator>
  <cp:keywords/>
  <dc:description/>
  <cp:lastModifiedBy>TRIPOLITSIOTIS Panos</cp:lastModifiedBy>
  <cp:revision>1</cp:revision>
  <dcterms:created xsi:type="dcterms:W3CDTF">2026-10-18T12:03:00Z</dcterms:created>
  <dcterms:modified xsi:type="dcterms:W3CDTF">2026-10-18T12:10:00Z</dcterms:modified>
</cp:coreProperties>
</file>